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  <w:lang w:val="zh-CN"/>
        </w:rPr>
      </w:r>
      <w:r>
        <w:rPr>
          <w:rFonts w:ascii="黑体" w:hAnsi="黑体" w:eastAsia="黑体" w:cs="黑体"/>
          <w:sz w:val="32"/>
          <w:szCs w:val="32"/>
          <w:highlight w:val="none"/>
          <w:lang w:val="zh-CN"/>
        </w:rPr>
      </w:r>
      <w:r/>
    </w:p>
    <w:p>
      <w:pPr>
        <w:jc w:val="center"/>
        <w:rPr>
          <w:rFonts w:ascii="黑体" w:hAnsi="黑体" w:eastAsia="黑体" w:cs="黑体"/>
          <w:sz w:val="32"/>
          <w:szCs w:val="32"/>
          <w:highlight w:val="none"/>
          <w:lang w:val="zh-CN"/>
        </w:rPr>
      </w:pPr>
      <w:r>
        <w:rPr>
          <w:rFonts w:ascii="黑体" w:hAnsi="黑体" w:eastAsia="黑体" w:cs="黑体"/>
          <w:sz w:val="32"/>
          <w:szCs w:val="32"/>
          <w:highlight w:val="none"/>
          <w:lang w:val="zh-CN"/>
        </w:rPr>
      </w:r>
      <w:r>
        <w:rPr>
          <w:rFonts w:ascii="黑体" w:hAnsi="黑体" w:eastAsia="黑体" w:cs="黑体"/>
          <w:sz w:val="32"/>
          <w:szCs w:val="32"/>
          <w:highlight w:val="none"/>
          <w:lang w:val="zh-CN"/>
        </w:rPr>
      </w:r>
      <w:r/>
    </w:p>
    <w:p>
      <w:pPr>
        <w:jc w:val="center"/>
        <w:rPr>
          <w:rFonts w:ascii="黑体" w:hAnsi="黑体" w:eastAsia="宋体" w:cs="黑体"/>
          <w:sz w:val="32"/>
          <w:szCs w:val="32"/>
          <w:highlight w:val="none"/>
          <w:lang w:val="zh-CN"/>
        </w:rPr>
      </w:pPr>
      <w:r>
        <w:rPr>
          <w:rFonts w:ascii="黑体" w:hAnsi="黑体" w:eastAsia="黑体" w:cs="黑体"/>
          <w:sz w:val="32"/>
          <w:szCs w:val="32"/>
          <w:lang w:val="zh-CN"/>
        </w:rPr>
        <w:t xml:space="preserve">湖北医药学院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公共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区域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维修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报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修单</w:t>
      </w:r>
      <w:r>
        <w:rPr>
          <w:rFonts w:ascii="黑体" w:hAnsi="黑体" w:cs="黑体"/>
          <w:sz w:val="32"/>
          <w:szCs w:val="32"/>
        </w:rPr>
      </w:r>
      <w:r/>
    </w:p>
    <w:p>
      <w:pPr>
        <w:jc w:val="center"/>
        <w:rPr>
          <w:rFonts w:ascii="黑体" w:hAnsi="黑体" w:eastAsia="黑体" w:cs="黑体"/>
          <w:sz w:val="32"/>
          <w:szCs w:val="32"/>
          <w:highlight w:val="none"/>
          <w:lang w:val="zh-CN"/>
        </w:rPr>
      </w:pPr>
      <w:r>
        <w:rPr>
          <w:rFonts w:ascii="黑体" w:hAnsi="黑体" w:eastAsia="宋体" w:cs="黑体"/>
          <w:sz w:val="32"/>
          <w:szCs w:val="32"/>
          <w:highlight w:val="none"/>
          <w:lang w:val="zh-CN"/>
        </w:rPr>
      </w:r>
      <w:r>
        <w:rPr>
          <w:rFonts w:ascii="黑体" w:hAnsi="黑体" w:eastAsia="宋体" w:cs="黑体"/>
          <w:sz w:val="32"/>
          <w:szCs w:val="32"/>
          <w:highlight w:val="none"/>
          <w:lang w:val="zh-CN"/>
        </w:rPr>
      </w:r>
      <w:r/>
    </w:p>
    <w:tbl>
      <w:tblPr>
        <w:tblStyle w:val="669"/>
        <w:tblW w:w="0" w:type="auto"/>
        <w:tblInd w:w="-524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425"/>
        <w:gridCol w:w="567"/>
        <w:gridCol w:w="566"/>
        <w:gridCol w:w="283"/>
        <w:gridCol w:w="425"/>
        <w:gridCol w:w="284"/>
        <w:gridCol w:w="1133"/>
        <w:gridCol w:w="567"/>
        <w:gridCol w:w="1417"/>
        <w:gridCol w:w="426"/>
      </w:tblGrid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微软雅黑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报修部门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4"/>
            <w:tcW w:w="1559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报修时间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报修人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4"/>
            <w:tcW w:w="1559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联系电话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维修</w:t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内容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维修地点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时间</w:t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要求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报修方式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电话</w:t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报修       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  <w:t xml:space="preserve">         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  <w:t xml:space="preserve">       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gridSpan w:val="3"/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书面报告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应急维修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上级</w:t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安排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记录填写人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派工</w:t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人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3"/>
            <w:tcW w:w="1559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派工时间</w:t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  <w:tc>
          <w:tcPr>
            <w:gridSpan w:val="7"/>
            <w:tcW w:w="453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/>
          </w:p>
        </w:tc>
      </w:tr>
    </w:tbl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p>
      <w:pPr>
        <w:jc w:val="center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黑体" w:hAnsi="黑体" w:eastAsia="黑体" w:cs="黑体"/>
          <w:sz w:val="32"/>
          <w:szCs w:val="32"/>
          <w:lang w:val="zh-CN"/>
        </w:rPr>
        <w:t xml:space="preserve">湖北医药学院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公共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区域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维修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报</w:t>
      </w:r>
      <w:r>
        <w:rPr>
          <w:rFonts w:ascii="黑体" w:hAnsi="黑体" w:eastAsia="黑体" w:cs="黑体"/>
          <w:sz w:val="32"/>
          <w:szCs w:val="32"/>
          <w:lang w:val="zh-CN"/>
        </w:rPr>
        <w:t xml:space="preserve">修单</w:t>
      </w:r>
      <w:r>
        <w:rPr>
          <w:rFonts w:ascii="宋体" w:hAnsi="宋体" w:eastAsia="宋体"/>
          <w:lang w:val="zh-CN"/>
        </w:rPr>
      </w:r>
      <w:r/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tbl>
      <w:tblPr>
        <w:tblStyle w:val="669"/>
        <w:tblW w:w="0" w:type="auto"/>
        <w:tblInd w:w="-524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425"/>
        <w:gridCol w:w="567"/>
        <w:gridCol w:w="566"/>
        <w:gridCol w:w="283"/>
        <w:gridCol w:w="425"/>
        <w:gridCol w:w="284"/>
        <w:gridCol w:w="1133"/>
        <w:gridCol w:w="426"/>
        <w:gridCol w:w="1417"/>
        <w:gridCol w:w="568"/>
      </w:tblGrid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微软雅黑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报修部门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4"/>
            <w:tcW w:w="1559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报修时间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报修人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4"/>
            <w:tcW w:w="1559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联系电话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维修</w:t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内容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维修地点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时间</w:t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要求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报修方式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电话</w:t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报修       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  <w:t xml:space="preserve">         </w:t>
            </w: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  <w:t xml:space="preserve">     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3"/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书面报告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应急维修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上级</w:t>
            </w:r>
            <w:r>
              <w:rPr>
                <w:rFonts w:ascii="华文楷体" w:hAnsi="华文楷体" w:eastAsia="华文楷体" w:cs="华文楷体"/>
                <w:sz w:val="28"/>
                <w:szCs w:val="28"/>
                <w:highlight w:val="none"/>
                <w:lang w:val="zh-CN"/>
              </w:rPr>
              <w:t xml:space="preserve">安排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68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28"/>
                <w:szCs w:val="28"/>
                <w:highlight w:val="none"/>
              </w:rPr>
            </w:pPr>
            <w:r>
              <w:rPr>
                <w:rFonts w:ascii="华文楷体" w:hAnsi="华文楷体" w:eastAsia="宋体" w:cs="华文楷体"/>
                <w:sz w:val="28"/>
                <w:szCs w:val="28"/>
                <w:highlight w:val="none"/>
                <w:lang w:val="zh-CN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记录填写人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11"/>
            <w:tcW w:w="7513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派工</w:t>
            </w: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人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3"/>
            <w:tcW w:w="1559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华文楷体" w:cs="华文楷体"/>
                <w:sz w:val="32"/>
                <w:szCs w:val="32"/>
                <w:highlight w:val="none"/>
                <w:lang w:val="zh-CN"/>
              </w:rPr>
              <w:t xml:space="preserve">派工时间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gridSpan w:val="7"/>
            <w:tcW w:w="4537" w:type="dxa"/>
            <w:textDirection w:val="lrTb"/>
            <w:noWrap w:val="false"/>
          </w:tcPr>
          <w:p>
            <w:pPr>
              <w:jc w:val="left"/>
              <w:rPr>
                <w:rFonts w:ascii="华文楷体" w:hAnsi="华文楷体" w:cs="华文楷体"/>
                <w:sz w:val="32"/>
                <w:szCs w:val="32"/>
                <w:highlight w:val="none"/>
              </w:rPr>
            </w:pPr>
            <w:r>
              <w:rPr>
                <w:rFonts w:ascii="华文楷体" w:hAnsi="华文楷体" w:eastAsia="宋体" w:cs="华文楷体"/>
                <w:sz w:val="32"/>
                <w:szCs w:val="32"/>
                <w:highlight w:val="none"/>
                <w:lang w:val="zh-CN"/>
              </w:rPr>
            </w:r>
            <w:r>
              <w:rPr>
                <w:sz w:val="32"/>
                <w:szCs w:val="32"/>
              </w:rPr>
            </w:r>
            <w:r/>
          </w:p>
        </w:tc>
      </w:tr>
    </w:tbl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p>
      <w:pPr>
        <w:jc w:val="left"/>
        <w:rPr>
          <w:rFonts w:ascii="宋体" w:hAnsi="宋体" w:eastAsia="宋体"/>
          <w:lang w:val="zh-CN"/>
        </w:rPr>
      </w:pPr>
      <w:r>
        <w:rPr>
          <w:rFonts w:ascii="宋体" w:hAnsi="宋体" w:eastAsia="宋体"/>
          <w:highlight w:val="none"/>
          <w:lang w:val="zh-CN"/>
        </w:rPr>
      </w:r>
      <w:r>
        <w:rPr>
          <w:rFonts w:ascii="宋体" w:hAnsi="宋体" w:eastAsia="宋体"/>
          <w:highlight w:val="none"/>
          <w:lang w:val="zh-CN"/>
        </w:rPr>
      </w:r>
      <w:r/>
    </w:p>
    <w:sectPr>
      <w:footnotePr/>
      <w:endnotePr/>
      <w:type w:val="nextPage"/>
      <w:pgSz w:w="11900" w:h="16840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华文楷体">
    <w:panose1 w:val="02010600040101010101"/>
  </w:font>
  <w:font w:name="宋体">
    <w:panose1 w:val="02010600030101010101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635">
    <w:name w:val="Heading 1"/>
    <w:basedOn w:val="812"/>
    <w:next w:val="812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6">
    <w:name w:val="Heading 1 Char"/>
    <w:basedOn w:val="813"/>
    <w:link w:val="635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12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2"/>
    <w:next w:val="812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2"/>
    <w:next w:val="812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2"/>
    <w:next w:val="812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2"/>
    <w:next w:val="812"/>
    <w:link w:val="662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2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2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paragraph" w:styleId="667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d9e2f2" w:themeFill="accent1" w:themeFillTint="34"/>
    </w:tblPr>
    <w:tblStylePr w:type="band1Horz">
      <w:tcPr>
        <w:shd w:val="clear" w:color="ffffff" w:fill="aabfe3" w:themeFill="accent1" w:themeFillTint="75"/>
      </w:tcPr>
    </w:tblStylePr>
    <w:tblStylePr w:type="band1Vert">
      <w:tcPr>
        <w:shd w:val="clear" w:color="ffffff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ededed" w:themeFill="accent3" w:themeFillTint="34"/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ef2cb" w:themeFill="accent4" w:themeFillTint="34"/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ddebf6" w:themeFill="accent5" w:themeFillTint="34"/>
    </w:tblPr>
    <w:tblStylePr w:type="band1Horz">
      <w:tcPr>
        <w:shd w:val="clear" w:color="ffffff" w:fill="b4d2eb" w:themeFill="accent5" w:themeFillTint="75"/>
      </w:tcPr>
    </w:tblStylePr>
    <w:tblStylePr w:type="band1Vert">
      <w:tcPr>
        <w:shd w:val="clear" w:color="ffffff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e2efd8" w:themeFill="accent6" w:themeFillTint="34"/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4472c4" w:themeFill="accent1"/>
    </w:tblPr>
    <w:tblStylePr w:type="band1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4b185" w:themeFill="accent2" w:themeFillTint="97"/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d864" w:themeFill="accent4" w:themeFillTint="9A"/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9cc4e5" w:themeFill="accent5" w:themeFillTint="9A"/>
    </w:tblPr>
    <w:tblStylePr w:type="band1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aad08f" w:themeFill="accent6" w:themeFillTint="98"/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9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3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75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</w:style>
  <w:style w:type="table" w:styleId="776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77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78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79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</w:style>
  <w:style w:type="table" w:styleId="780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781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82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</w:style>
  <w:style w:type="table" w:styleId="783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84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85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86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</w:style>
  <w:style w:type="table" w:styleId="787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788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2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3"/>
    <w:uiPriority w:val="99"/>
    <w:unhideWhenUsed/>
    <w:rPr>
      <w:vertAlign w:val="superscript"/>
    </w:rPr>
  </w:style>
  <w:style w:type="paragraph" w:styleId="799">
    <w:name w:val="endnote text"/>
    <w:basedOn w:val="812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3"/>
    <w:uiPriority w:val="99"/>
    <w:semiHidden/>
    <w:unhideWhenUsed/>
    <w:rPr>
      <w:vertAlign w:val="superscript"/>
    </w:rPr>
  </w:style>
  <w:style w:type="paragraph" w:styleId="802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 w:default="1">
    <w:name w:val="Normal"/>
    <w:qFormat/>
    <w:pPr>
      <w:jc w:val="both"/>
      <w:widowControl w:val="off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2021-12-08T01:12:00Z</dcterms:created>
  <dcterms:modified xsi:type="dcterms:W3CDTF">2023-07-05T00:40:10Z</dcterms:modified>
</cp:coreProperties>
</file>